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  <w:r>
        <w:rPr>
          <w:rFonts w:ascii="Consolas" w:cs="Consolas" w:eastAsia="Consolas" w:hAnsi="Consolas"/>
          <w:b/>
          <w:bCs/>
          <w:color w:val="0F6D5C"/>
          <w:sz w:val="18"/>
          <w:szCs w:val="18"/>
        </w:rPr>
        <w:t xml:space="preserve">COMMENT LANCER / UTILISER</w:t>
      </w:r>
    </w:p>
    <w:p>
      <w:pPr>
        <w:spacing w:after="200"/>
      </w:pPr>
      <w:r>
        <w:rPr>
          <w:rFonts w:ascii="Calibri" w:cs="Calibri" w:eastAsia="Calibri" w:hAnsi="Calibri"/>
          <w:b/>
          <w:bCs/>
          <w:sz w:val="32"/>
          <w:szCs w:val="32"/>
        </w:rPr>
        <w:t xml:space="preserve">Tabac et cancer du poumon — HINTS 7 (analyse descriptive)</w:t>
      </w:r>
    </w:p>
    <w:p>
      <w:pPr>
        <w:spacing w:after="160"/>
      </w:pPr>
      <w:r>
        <w:rPr>
          <w:rFonts w:ascii="Calibri" w:cs="Calibri" w:eastAsia="Calibri" w:hAnsi="Calibri"/>
          <w:i w:val="false"/>
          <w:iCs w:val="false"/>
          <w:sz w:val="22"/>
          <w:szCs w:val="22"/>
        </w:rPr>
        <w:t xml:space="preserve">Ce document explique comment relancer ou modifier l'analyse. Pour la méthode et les résultats, voir « Résultats.pptx » dans ce même dossier deck/.</w:t>
      </w:r>
    </w:p>
    <w:p>
      <w:pPr>
        <w:pStyle w:val="Heading1"/>
        <w:spacing w:after="160" w:before="320"/>
      </w:pPr>
      <w:r>
        <w:rPr>
          <w:b/>
          <w:bCs/>
        </w:rPr>
        <w:t xml:space="preserve">1. Objectif</w:t>
      </w:r>
    </w:p>
    <w:p>
      <w:pPr>
        <w:spacing w:after="160"/>
      </w:pPr>
      <w:r>
        <w:rPr>
          <w:rFonts w:ascii="Calibri" w:cs="Calibri" w:eastAsia="Calibri" w:hAnsi="Calibri"/>
          <w:i w:val="false"/>
          <w:iCs w:val="false"/>
          <w:sz w:val="22"/>
          <w:szCs w:val="22"/>
        </w:rPr>
        <w:t xml:space="preserve">Analyse descriptive/associative des habitudes tabagiques chez les répondants déclarant un cancer du poumon, à partir de l'enquête HINTS 7 (Health Information National Trends Survey, National Cancer Institute, 7 278 répondants) : comparaison du statut tabagique entre le sous-groupe cancer du poumon (n=23) et le reste de l'échantillon.</w:t>
      </w:r>
    </w:p>
    <w:p>
      <w:pPr>
        <w:pStyle w:val="Heading1"/>
        <w:spacing w:after="160" w:before="320"/>
      </w:pPr>
      <w:r>
        <w:rPr>
          <w:b/>
          <w:bCs/>
        </w:rPr>
        <w:t xml:space="preserve">2. Arborescence du projet</w:t>
      </w:r>
    </w:p>
    <w:tbl>
      <w:tblPr>
        <w:tblW w:type="dxa" w:w="9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7800"/>
      </w:tblGrid>
      <w:tr>
        <w:trPr>
          <w:tblHeader/>
        </w:trPr>
        <w:tc>
          <w:tcPr>
            <w:tcW w:type="dxa" w:w="1600"/>
            <w:shd w:fill="EFEFE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Dossier</w:t>
            </w:r>
          </w:p>
        </w:tc>
        <w:tc>
          <w:tcPr>
            <w:tcW w:type="dxa" w:w="7800"/>
            <w:shd w:fill="EFEFE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Contenu</w:t>
            </w:r>
          </w:p>
        </w:tc>
      </w:tr>
      <w:tr>
        <w:tc>
          <w:tcPr>
            <w:tcW w:type="dxa" w:w="16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in/</w:t>
            </w:r>
          </w:p>
        </w:tc>
        <w:tc>
          <w:tcPr>
            <w:tcW w:type="dxa" w:w="78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Données reçues, jamais modifiées à la main. Contient hints7_public.sav (extrait du zip déposé, 7 278 répondants, 470 variables) et le zip original.</w:t>
            </w:r>
          </w:p>
        </w:tc>
      </w:tr>
      <w:tr>
        <w:tc>
          <w:tcPr>
            <w:tcW w:type="dxa" w:w="16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log/</w:t>
            </w:r>
          </w:p>
        </w:tc>
        <w:tc>
          <w:tcPr>
            <w:tcW w:type="dxa" w:w="78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Traces d'exécution : journal cumulatif run_log.txt.</w:t>
            </w:r>
          </w:p>
        </w:tc>
      </w:tr>
      <w:tr>
        <w:tc>
          <w:tcPr>
            <w:tcW w:type="dxa" w:w="16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out/</w:t>
            </w:r>
          </w:p>
        </w:tc>
        <w:tc>
          <w:tcPr>
            <w:tcW w:type="dxa" w:w="78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resultats.xlsx — un classeur, une seule feuille, les 9 tableaux empilés, régénéré à chaque exécution.</w:t>
            </w:r>
          </w:p>
        </w:tc>
      </w:tr>
      <w:tr>
        <w:tc>
          <w:tcPr>
            <w:tcW w:type="dxa" w:w="16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code/</w:t>
            </w:r>
          </w:p>
        </w:tc>
        <w:tc>
          <w:tcPr>
            <w:tcW w:type="dxa" w:w="78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Script Python de l'analyse (analyse_tabac_cancer.py).</w:t>
            </w:r>
          </w:p>
        </w:tc>
      </w:tr>
      <w:tr>
        <w:tc>
          <w:tcPr>
            <w:tcW w:type="dxa" w:w="16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settings/</w:t>
            </w:r>
          </w:p>
        </w:tc>
        <w:tc>
          <w:tcPr>
            <w:tcW w:type="dxa" w:w="78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Paramètres externalisés (settings.json) et template PowerPoint.</w:t>
            </w:r>
          </w:p>
        </w:tc>
      </w:tr>
      <w:tr>
        <w:tc>
          <w:tcPr>
            <w:tcW w:type="dxa" w:w="16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deck/</w:t>
            </w:r>
          </w:p>
        </w:tc>
        <w:tc>
          <w:tcPr>
            <w:tcW w:type="dxa" w:w="78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Livrables pour lecture humaine : ce document et le PowerPoint méthode/résultats.</w:t>
            </w:r>
          </w:p>
        </w:tc>
      </w:tr>
      <w:tr>
        <w:tc>
          <w:tcPr>
            <w:tcW w:type="dxa" w:w="16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prompt/</w:t>
            </w:r>
          </w:p>
        </w:tc>
        <w:tc>
          <w:tcPr>
            <w:tcW w:type="dxa" w:w="78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Demande d'origine (Brief.txt) et sa version détaillée à jour (Prompt_out.txt).</w:t>
            </w:r>
          </w:p>
        </w:tc>
      </w:tr>
    </w:tbl>
    <w:p>
      <w:pPr>
        <w:pStyle w:val="Heading1"/>
        <w:spacing w:after="160" w:before="320"/>
      </w:pPr>
      <w:r>
        <w:rPr>
          <w:b/>
          <w:bCs/>
        </w:rPr>
        <w:t xml:space="preserve">3. Prérequis</w:t>
      </w:r>
    </w:p>
    <w:p>
      <w:pPr>
        <w:spacing w:after="160"/>
      </w:pPr>
      <w:r>
        <w:rPr>
          <w:rFonts w:ascii="Calibri" w:cs="Calibri" w:eastAsia="Calibri" w:hAnsi="Calibri"/>
          <w:i w:val="false"/>
          <w:iCs w:val="false"/>
          <w:sz w:val="22"/>
          <w:szCs w:val="22"/>
        </w:rPr>
        <w:t xml:space="preserve">Python 3 avec les bibliothèques suivantes :</w:t>
      </w:r>
    </w:p>
    <w:p>
      <w:pPr>
        <w:shd w:fill="F2F2F2" w:val="clear"/>
        <w:spacing w:after="160" w:before="80"/>
        <w:ind w:left="288"/>
      </w:pPr>
      <w:r>
        <w:rPr>
          <w:rFonts w:ascii="Consolas" w:cs="Consolas" w:eastAsia="Consolas" w:hAnsi="Consolas"/>
          <w:sz w:val="20"/>
          <w:szCs w:val="20"/>
        </w:rPr>
        <w:t xml:space="preserve">pip3 install pyreadstat pandas openpyxl</w:t>
      </w:r>
    </w:p>
    <w:p>
      <w:pPr>
        <w:pStyle w:val="Heading1"/>
        <w:spacing w:after="160" w:before="320"/>
      </w:pPr>
      <w:r>
        <w:rPr>
          <w:b/>
          <w:bCs/>
        </w:rPr>
        <w:t xml:space="preserve">4. Lancer l'analyse</w:t>
      </w:r>
    </w:p>
    <w:p>
      <w:pPr>
        <w:spacing w:after="160"/>
      </w:pPr>
      <w:r>
        <w:rPr>
          <w:rFonts w:ascii="Calibri" w:cs="Calibri" w:eastAsia="Calibri" w:hAnsi="Calibri"/>
          <w:i w:val="false"/>
          <w:iCs w:val="false"/>
          <w:sz w:val="22"/>
          <w:szCs w:val="22"/>
        </w:rPr>
        <w:t xml:space="preserve">Depuis la racine du projet :</w:t>
      </w:r>
    </w:p>
    <w:p>
      <w:pPr>
        <w:shd w:fill="F2F2F2" w:val="clear"/>
        <w:spacing w:after="160" w:before="80"/>
        <w:ind w:left="288"/>
      </w:pPr>
      <w:r>
        <w:rPr>
          <w:rFonts w:ascii="Consolas" w:cs="Consolas" w:eastAsia="Consolas" w:hAnsi="Consolas"/>
          <w:sz w:val="20"/>
          <w:szCs w:val="20"/>
        </w:rPr>
        <w:t xml:space="preserve">python3 code/analyse_tabac_cancer.py</w:t>
      </w:r>
    </w:p>
    <w:p>
      <w:pPr>
        <w:spacing w:after="160"/>
      </w:pPr>
      <w:r>
        <w:rPr>
          <w:rFonts w:ascii="Calibri" w:cs="Calibri" w:eastAsia="Calibri" w:hAnsi="Calibri"/>
          <w:i w:val="false"/>
          <w:iCs w:val="false"/>
          <w:sz w:val="22"/>
          <w:szCs w:val="22"/>
        </w:rPr>
        <w:t xml:space="preserve">Le script affiche un résumé (effectifs, nombre de cas de cancer du poumon, nombre de tableaux) et écrit les fichiers listés en section 6.</w:t>
      </w:r>
    </w:p>
    <w:p>
      <w:pPr>
        <w:pStyle w:val="Heading1"/>
        <w:spacing w:after="160" w:before="320"/>
      </w:pPr>
      <w:r>
        <w:rPr>
          <w:b/>
          <w:bCs/>
        </w:rPr>
        <w:t xml:space="preserve">5. Paramètres modifiables — settings/settings.json</w:t>
      </w:r>
    </w:p>
    <w:tbl>
      <w:tblPr>
        <w:tblW w:type="dxa" w:w="9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6000"/>
      </w:tblGrid>
      <w:tr>
        <w:trPr>
          <w:tblHeader/>
        </w:trPr>
        <w:tc>
          <w:tcPr>
            <w:tcW w:type="dxa" w:w="3400"/>
            <w:shd w:fill="EFEFE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Clé</w:t>
            </w:r>
          </w:p>
        </w:tc>
        <w:tc>
          <w:tcPr>
            <w:tcW w:type="dxa" w:w="6000"/>
            <w:shd w:fill="EFEFE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Rôle</w:t>
            </w:r>
          </w:p>
        </w:tc>
      </w:tr>
      <w:tr>
        <w:tc>
          <w:tcPr>
            <w:tcW w:type="dxa" w:w="34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any_cancer_variable / cancer_type_variable</w:t>
            </w:r>
          </w:p>
        </w:tc>
        <w:tc>
          <w:tcPr>
            <w:tcW w:type="dxa" w:w="60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Variables HINTS utilisées pour identifier les répondants ayant eu un cancer et son type.</w:t>
            </w:r>
          </w:p>
        </w:tc>
      </w:tr>
      <w:tr>
        <w:tc>
          <w:tcPr>
            <w:tcW w:type="dxa" w:w="34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lung_cancer_code</w:t>
            </w:r>
          </w:p>
        </w:tc>
        <w:tc>
          <w:tcPr>
            <w:tcW w:type="dxa" w:w="60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Code de la modalité « Lung cancer only » dans la variable dérivée Cancer_Cat (12 par défaut).</w:t>
            </w:r>
          </w:p>
        </w:tc>
      </w:tr>
      <w:tr>
        <w:tc>
          <w:tcPr>
            <w:tcW w:type="dxa" w:w="34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smoking_status_variable</w:t>
            </w:r>
          </w:p>
        </w:tc>
        <w:tc>
          <w:tcPr>
            <w:tcW w:type="dxa" w:w="60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Variable de statut tabagique utilisée pour les comparaisons (smokeStat : Current/Former/Never).</w:t>
            </w:r>
          </w:p>
        </w:tc>
      </w:tr>
      <w:tr>
        <w:tc>
          <w:tcPr>
            <w:tcW w:type="dxa" w:w="34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other_tobacco_variables</w:t>
            </w:r>
          </w:p>
        </w:tc>
        <w:tc>
          <w:tcPr>
            <w:tcW w:type="dxa" w:w="60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Variables d'autres produits du tabac/nicotine tabulées pour le sous-groupe cancer du poumon.</w:t>
            </w:r>
          </w:p>
        </w:tc>
      </w:tr>
      <w:tr>
        <w:tc>
          <w:tcPr>
            <w:tcW w:type="dxa" w:w="34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age_variable / sex_variable</w:t>
            </w:r>
          </w:p>
        </w:tc>
        <w:tc>
          <w:tcPr>
            <w:tcW w:type="dxa" w:w="60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Variables démographiques du profil du sous-groupe cancer du poumon.</w:t>
            </w:r>
          </w:p>
        </w:tc>
      </w:tr>
    </w:tbl>
    <w:p>
      <w:pPr>
        <w:spacing w:after="160"/>
      </w:pPr>
      <w:r>
        <w:rPr>
          <w:rFonts w:ascii="Calibri" w:cs="Calibri" w:eastAsia="Calibri" w:hAnsi="Calibri"/>
          <w:i/>
          <w:iCs/>
          <w:color w:val="595959"/>
          <w:sz w:val="22"/>
          <w:szCs w:val="22"/>
        </w:rPr>
        <w:t xml:space="preserve">Changer lung_cancer_code et relancer le script permet de reproduire la même analyse pour un autre type de cancer (ex. sein, colon) sans toucher au code.</w:t>
      </w:r>
    </w:p>
    <w:p>
      <w:pPr>
        <w:pStyle w:val="Heading1"/>
        <w:spacing w:after="160" w:before="320"/>
      </w:pPr>
      <w:r>
        <w:rPr>
          <w:b/>
          <w:bCs/>
        </w:rPr>
        <w:t xml:space="preserve">6. Fichiers produits à chaque exécution</w:t>
      </w:r>
    </w:p>
    <w:tbl>
      <w:tblPr>
        <w:tblW w:type="dxa" w:w="9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6000"/>
      </w:tblGrid>
      <w:tr>
        <w:trPr>
          <w:tblHeader/>
        </w:trPr>
        <w:tc>
          <w:tcPr>
            <w:tcW w:type="dxa" w:w="3400"/>
            <w:shd w:fill="EFEFE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Fichier</w:t>
            </w:r>
          </w:p>
        </w:tc>
        <w:tc>
          <w:tcPr>
            <w:tcW w:type="dxa" w:w="6000"/>
            <w:shd w:fill="EFEFE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Contenu</w:t>
            </w:r>
          </w:p>
        </w:tc>
      </w:tr>
      <w:tr>
        <w:tc>
          <w:tcPr>
            <w:tcW w:type="dxa" w:w="34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out/resultats.xlsx</w:t>
            </w:r>
          </w:p>
        </w:tc>
        <w:tc>
          <w:tcPr>
            <w:tcW w:type="dxa" w:w="60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Un classeur, une seule feuille, 9 tableaux empilés verticalement : diagnostic de cancer, types de cancer, statut tabagique (cancer du poumon vs reste, puis tous cancers), autres produits du tabac, âge, sexe.</w:t>
            </w:r>
          </w:p>
        </w:tc>
      </w:tr>
      <w:tr>
        <w:tc>
          <w:tcPr>
            <w:tcW w:type="dxa" w:w="34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log/run_log.txt</w:t>
            </w:r>
          </w:p>
        </w:tc>
        <w:tc>
          <w:tcPr>
            <w:tcW w:type="dxa" w:w="60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Une ligne ajoutée (jamais écrasée) à chaque lancement.</w:t>
            </w:r>
          </w:p>
        </w:tc>
      </w:tr>
    </w:tbl>
    <w:p>
      <w:pPr>
        <w:pStyle w:val="Heading1"/>
        <w:spacing w:after="160" w:before="320"/>
      </w:pPr>
      <w:r>
        <w:rPr>
          <w:b/>
          <w:bCs/>
        </w:rPr>
        <w:t xml:space="preserve">7. À ne pas faire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sz w:val="22"/>
          <w:szCs w:val="22"/>
        </w:rPr>
        <w:t xml:space="preserve">Ne jamais modifier in/hints7_public.sav à la main.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sz w:val="22"/>
          <w:szCs w:val="22"/>
        </w:rPr>
        <w:t xml:space="preserve">Ne pas éditer out/resultats.xlsx à la main : il est régénéré par le script.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sz w:val="22"/>
          <w:szCs w:val="22"/>
        </w:rPr>
        <w:t xml:space="preserve">Ne pas présenter les résultats comme une preuve de causalité : HINTS est une enquête déclarative transversale, pas une étude cas-témoins — elle documente une association, pas un mécanisme causal.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sz w:val="22"/>
          <w:szCs w:val="22"/>
        </w:rPr>
        <w:t xml:space="preserve">Ne pas ajouter de test statistique formel (chi², régression) sur le sous-groupe cancer du poumon sans en signaler la fragilité : n=23 rend toute p-value ou intervalle de confiance peu fiable.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31" w:hanging="259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2026-09-02T11:27:53.090Z</dcterms:created>
  <dcterms:modified xsi:type="dcterms:W3CDTF">2026-09-02T11:27:53.090Z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